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</Relationships>
</file>

<file path=word/document.xml><?xml version="1.0" encoding="utf-8"?>
<w:document xmlns:w="http://schemas.openxmlformats.org/wordprocessingml/2006/main">
  <w:body>
    <w:p>
      <w:r>
        <w:t xml:space="preserve">Bouclier IA Publique — Module 1</w:t>
      </w:r>
    </w:p>
    <w:p>
      <w:r>
        <w:t xml:space="preserve">Diagnostic Shadow AI &amp; Charte d'Usage (Article 4)</w:t>
      </w:r>
    </w:p>
    <w:p>
      <w:r>
        <w:t xml:space="preserve"/>
      </w:r>
    </w:p>
    <w:p>
      <w:r>
        <w:t xml:space="preserve">Institut Article 4 (A4I) — Licence CC BY-NC 4.0</w:t>
      </w:r>
    </w:p>
    <w:p>
      <w:r>
        <w:t xml:space="preserve"/>
      </w:r>
    </w:p>
    <w:p>
      <w:r>
        <w:t xml:space="preserve">1. Cartographier les outils IA non declares (Shadow AI).</w:t>
      </w:r>
    </w:p>
    <w:p>
      <w:r>
        <w:t xml:space="preserve">2. Identifier les donnees traitees et les responsables.</w:t>
      </w:r>
    </w:p>
    <w:p>
      <w:r>
        <w:t xml:space="preserve">3. Adopter une charte d'usage alignee sur la litteratie IA Art. 4.</w:t>
      </w:r>
    </w:p>
    <w:p>
      <w:r>
        <w:t xml:space="preserve">4. Planifier la sensibilisation DGS / DSI / DPO.</w:t>
      </w:r>
    </w:p>
    <w:p>
      <w:r>
        <w:t xml:space="preserve"/>
      </w:r>
    </w:p>
    <w:p>
      <w:r>
        <w:t xml:space="preserve">Modele open source — secteur public francophone.</w:t>
      </w:r>
    </w:p>
    <w:sectPr/>
  </w:body>
</w:document>
</file>